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00"/>
          <w:sz w:val="44"/>
          <w:szCs w:val="44"/>
        </w:rPr>
        <w:t>体检须知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1.均应到指定医院进行集中体检，其它医疗单位的检查结果一律无效。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2.严禁弄虚作假、冒名顶替；如隐瞒病史影响体检结果的，后果自负。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.体检前一天请注意休息，勿熬夜，不要饮酒，避免剧烈运动。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.体检当天需进行采血、B超等检查，请在受检前禁食8-12小时。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.体检医师可根据实际需要，增加必要的相应检查、检验项目。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.如对体检结果有疑义，请按有关规定办理。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WE5ZWZmN2RkZjdhNDM2YjVjZTFhZWZmZDc0OTAifQ=="/>
  </w:docVars>
  <w:rsids>
    <w:rsidRoot w:val="29DF2238"/>
    <w:rsid w:val="29DF2238"/>
    <w:rsid w:val="3A2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385</Characters>
  <Lines>0</Lines>
  <Paragraphs>0</Paragraphs>
  <TotalTime>0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2023-06-19T02:53:00Z</dcterms:created>
  <dc:creator>WPS_1629961300</dc:creator>
  <cp:lastModifiedBy>任硕</cp:lastModifiedBy>
  <dcterms:modified xsi:type="dcterms:W3CDTF">2024-05-28T07:39:40Z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23997D138F1F4CAAA40149914C2A7C41_11</vt:lpwstr>
  </property>
</Properties>
</file>